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15E9" w:rsidRPr="003F15E9" w:rsidRDefault="003F15E9" w:rsidP="003F15E9">
      <w:pPr>
        <w:pStyle w:val="Bezodstpw"/>
        <w:rPr>
          <w:b/>
          <w:i/>
        </w:rPr>
      </w:pPr>
      <w:r w:rsidRPr="003F15E9">
        <w:rPr>
          <w:b/>
          <w:i/>
        </w:rPr>
        <w:t xml:space="preserve">Załącznik nr </w:t>
      </w:r>
      <w:r w:rsidR="0075384F">
        <w:rPr>
          <w:b/>
          <w:i/>
        </w:rPr>
        <w:t>3</w:t>
      </w:r>
      <w:r w:rsidRPr="003F15E9">
        <w:rPr>
          <w:b/>
          <w:i/>
        </w:rPr>
        <w:t xml:space="preserve"> </w:t>
      </w:r>
    </w:p>
    <w:p w:rsidR="00B46C75" w:rsidRPr="003F15E9" w:rsidRDefault="007113C7" w:rsidP="003F15E9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SZCZEGÓŁOWY </w:t>
      </w:r>
      <w:r w:rsidR="003F15E9" w:rsidRPr="003F15E9">
        <w:rPr>
          <w:rFonts w:cs="Times New Roman"/>
          <w:b/>
        </w:rPr>
        <w:t>OPIS PRZEDMIOTU ZAMÓWIENIA</w:t>
      </w:r>
    </w:p>
    <w:p w:rsidR="001C2FAB" w:rsidRDefault="001C2FAB">
      <w:pPr>
        <w:rPr>
          <w:rFonts w:cs="Times New Roman"/>
        </w:rPr>
      </w:pPr>
    </w:p>
    <w:tbl>
      <w:tblPr>
        <w:tblW w:w="1476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76"/>
        <w:gridCol w:w="7224"/>
        <w:gridCol w:w="2131"/>
        <w:gridCol w:w="4536"/>
      </w:tblGrid>
      <w:tr w:rsidR="000A1327" w:rsidTr="00C06499">
        <w:tc>
          <w:tcPr>
            <w:tcW w:w="87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7224" w:type="dxa"/>
            <w:shd w:val="clear" w:color="auto" w:fill="D9D9D9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Wymagane warunki</w:t>
            </w:r>
          </w:p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b/>
                <w:i/>
                <w:sz w:val="22"/>
                <w:szCs w:val="22"/>
              </w:rPr>
              <w:t>Urządzenie do monitorowania hemodynamicznego</w:t>
            </w:r>
            <w:r w:rsidRPr="007113C7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- 1 szt.</w:t>
            </w:r>
          </w:p>
        </w:tc>
        <w:tc>
          <w:tcPr>
            <w:tcW w:w="2131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Wartość</w:t>
            </w:r>
          </w:p>
          <w:p w:rsidR="000A1327" w:rsidRPr="001C2FAB" w:rsidRDefault="000A1327" w:rsidP="00C06499">
            <w:pPr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wymagana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Parametry oferowane</w:t>
            </w:r>
          </w:p>
        </w:tc>
      </w:tr>
      <w:tr w:rsidR="000A1327" w:rsidTr="00C06499">
        <w:tc>
          <w:tcPr>
            <w:tcW w:w="87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224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131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0A1327" w:rsidRPr="001C2FAB" w:rsidRDefault="000A1327" w:rsidP="00C06499">
            <w:pPr>
              <w:snapToGrid w:val="0"/>
              <w:jc w:val="center"/>
              <w:rPr>
                <w:sz w:val="22"/>
                <w:szCs w:val="22"/>
              </w:rPr>
            </w:pPr>
            <w:r w:rsidRPr="001C2FAB">
              <w:rPr>
                <w:rFonts w:cs="Times New Roman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Fabrycznie nowy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Rok produkcji  min. 2024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Ocena hemodynamiczna układu krążenia metodą małoinwazyjną rozumianą jako: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 xml:space="preserve">bez użycia cewnika </w:t>
            </w:r>
            <w:proofErr w:type="spellStart"/>
            <w:r w:rsidRPr="001C2FAB">
              <w:rPr>
                <w:rFonts w:cs="Times New Roman"/>
                <w:color w:val="000000"/>
              </w:rPr>
              <w:t>Swan-Ganza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 xml:space="preserve">pomiar parametrów hemodynamicznych z jednego dostępu naczyniowego lub drogą </w:t>
            </w:r>
            <w:proofErr w:type="spellStart"/>
            <w:r w:rsidRPr="001C2FAB">
              <w:rPr>
                <w:rFonts w:cs="Times New Roman"/>
                <w:color w:val="000000"/>
              </w:rPr>
              <w:t>kaniulacji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>obwodowego naczynia tętniczego i żyły głównej górnej,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3"/>
              </w:numPr>
              <w:ind w:left="557" w:hanging="284"/>
            </w:pPr>
            <w:r w:rsidRPr="001C2FAB">
              <w:rPr>
                <w:rFonts w:cs="Times New Roman"/>
                <w:color w:val="000000"/>
              </w:rPr>
              <w:t xml:space="preserve">pomiar u pacjentów </w:t>
            </w:r>
            <w:proofErr w:type="spellStart"/>
            <w:r w:rsidRPr="001C2FAB">
              <w:rPr>
                <w:rFonts w:cs="Times New Roman"/>
                <w:color w:val="000000"/>
              </w:rPr>
              <w:t>zaintubowanych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i nie </w:t>
            </w:r>
            <w:proofErr w:type="spellStart"/>
            <w:r w:rsidRPr="001C2FAB">
              <w:rPr>
                <w:rFonts w:cs="Times New Roman"/>
                <w:color w:val="000000"/>
              </w:rPr>
              <w:t>zaintubowanych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Analiza kształtu fali ciśnienia tętniczego do ciągłego (w czasie rzeczywistym) oznaczania ciśnienia krwi, trendu rzutu serca, reakcji hemodynamicznych na podanie płynów i innych parametrów pochodnych z wykorzystaniem jednego dostępu naczyniowego.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COCal</w:t>
            </w:r>
            <w:proofErr w:type="spellEnd"/>
            <w:r w:rsidRPr="001C2FAB">
              <w:rPr>
                <w:rFonts w:cs="Times New Roman"/>
                <w:color w:val="000000"/>
              </w:rPr>
              <w:t>/Trend (</w:t>
            </w:r>
            <w:proofErr w:type="spellStart"/>
            <w:r w:rsidRPr="001C2FAB">
              <w:rPr>
                <w:rFonts w:cs="Times New Roman"/>
                <w:color w:val="000000"/>
              </w:rPr>
              <w:t>CICal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/Trend) – rzutu serca w oparciu o kształt fali pulsu,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SV (SVI) - objętość wyrzutowa,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SVR (SVRI) - obwodowy opór naczyniowy,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SVV - wahania objętości wyrzutowej,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PPV - wahania ciśnienia tętniczego,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dPmx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</w:t>
            </w:r>
            <w:r>
              <w:rPr>
                <w:rFonts w:cs="Times New Roman"/>
                <w:color w:val="000000"/>
              </w:rPr>
              <w:t>w</w:t>
            </w:r>
            <w:r w:rsidRPr="001C2FAB">
              <w:rPr>
                <w:rFonts w:cs="Times New Roman"/>
                <w:color w:val="000000"/>
              </w:rPr>
              <w:t xml:space="preserve">skaźnik kurczliwości lewej komory,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CPO (CPI) - moc pojemności minutowej,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 xml:space="preserve">HR - częstość akcji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APsys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 skurczowe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APdia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rozkurczowe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lastRenderedPageBreak/>
              <w:t xml:space="preserve">MAP - średnie ciśnienie tętnicze,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4"/>
              </w:numPr>
            </w:pPr>
            <w:r w:rsidRPr="001C2FAB">
              <w:rPr>
                <w:rFonts w:cs="Times New Roman"/>
                <w:color w:val="000000"/>
              </w:rPr>
              <w:t>CVP - Ośrodkowe ciśnienie żylne</w:t>
            </w:r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lastRenderedPageBreak/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Dla uzyskania maksymalnie dokładnego pomiaru ciągłego rzutu serca urządzenie posiadające dwie opcje kalibracji: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 xml:space="preserve">automatyczną rozumianą jako wygenerowanie szacunkowej wartości kalibracji na podstawie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>ciśnienia krwi oraz danych pacjenta,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 xml:space="preserve">ręczną rozumianą jako wpisanie w polu wprowadzania danych wartości referencyjnej CO,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5"/>
              </w:numPr>
            </w:pPr>
            <w:r w:rsidRPr="001C2FAB">
              <w:rPr>
                <w:rFonts w:cs="Times New Roman"/>
                <w:color w:val="000000"/>
              </w:rPr>
              <w:t>otrzymanej za pomocą innej technologii monitorowania hemodynamicznego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Możliwość rozbudowy o moduł ciągłego (w czasie rzeczywistym) pomiaru rzutu serca z analizy kształtu fali ciśnienia tętniczego, kalibrowanego metodą </w:t>
            </w:r>
            <w:proofErr w:type="spellStart"/>
            <w:r>
              <w:rPr>
                <w:rFonts w:cs="Times New Roman"/>
                <w:color w:val="000000"/>
              </w:rPr>
              <w:t>termodylucji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przezpłucnej</w:t>
            </w:r>
            <w:proofErr w:type="spellEnd"/>
            <w:r>
              <w:rPr>
                <w:rFonts w:cs="Times New Roman"/>
                <w:color w:val="000000"/>
              </w:rPr>
              <w:t xml:space="preserve">, drogą </w:t>
            </w:r>
            <w:proofErr w:type="spellStart"/>
            <w:r>
              <w:rPr>
                <w:rFonts w:cs="Times New Roman"/>
                <w:color w:val="000000"/>
              </w:rPr>
              <w:t>kaniulacji</w:t>
            </w:r>
            <w:proofErr w:type="spellEnd"/>
            <w:r>
              <w:rPr>
                <w:rFonts w:cs="Times New Roman"/>
                <w:color w:val="000000"/>
              </w:rPr>
              <w:t xml:space="preserve"> obwodowego naczynia tętniczego i żyły głównej górnej.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COPC (CIPC) - rzut serca w oparciu o kształt fali pulsu,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SV (SVI) - objętość wyrzutowa,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SVR (SVRI) - obwodowy opór naczyniowy,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SVV - wahania objętości wyrzutowej,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PPV - wahania ciśnienia tętniczego,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dPmx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</w:t>
            </w:r>
            <w:r>
              <w:rPr>
                <w:rFonts w:cs="Times New Roman"/>
                <w:color w:val="000000"/>
              </w:rPr>
              <w:t>w</w:t>
            </w:r>
            <w:r w:rsidRPr="001C2FAB">
              <w:rPr>
                <w:rFonts w:cs="Times New Roman"/>
                <w:color w:val="000000"/>
              </w:rPr>
              <w:t xml:space="preserve">skaźnik kurczliwości lewej komory,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tdCO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(</w:t>
            </w:r>
            <w:proofErr w:type="spellStart"/>
            <w:r w:rsidRPr="001C2FAB">
              <w:rPr>
                <w:rFonts w:cs="Times New Roman"/>
                <w:color w:val="000000"/>
              </w:rPr>
              <w:t>tdCI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) - rzut minutowy z </w:t>
            </w:r>
            <w:proofErr w:type="spellStart"/>
            <w:r w:rsidRPr="001C2FAB">
              <w:rPr>
                <w:rFonts w:cs="Times New Roman"/>
                <w:color w:val="000000"/>
              </w:rPr>
              <w:t>termodylucji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1C2FAB">
              <w:rPr>
                <w:rFonts w:cs="Times New Roman"/>
                <w:color w:val="000000"/>
              </w:rPr>
              <w:t>przezpłucnej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CFI - wskaźnik funkcji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>GEDV (GEDI) - całkowita objętość końcowo-rozkurczowa,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 EVLW (ELWI) - objętość pozanaczyniowej wody płucnej,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PVPI - wskaźnik przepuszczalności naczyń płucnych,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GEF - całkowita frakcja wyrzutowa,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CPO (CPI) - moc użyteczna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HR - częstość skurczów serca,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APsys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skurczowe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APdia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rozkurczowe ciśnienie tętnicze,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t xml:space="preserve">MAP - średnie ciśnienie tętnicze,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6"/>
              </w:numPr>
            </w:pPr>
            <w:r w:rsidRPr="001C2FAB">
              <w:rPr>
                <w:rFonts w:cs="Times New Roman"/>
                <w:color w:val="000000"/>
              </w:rPr>
              <w:lastRenderedPageBreak/>
              <w:t>CVP - ośrodkowe ciśnienie żylne</w:t>
            </w:r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lastRenderedPageBreak/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Urządzenie umożliwiające rozbudowę o ciągły (w czasie rzeczywistym) pomiar saturacji krwi żylnej z żyły głównej górnej za pomocą refleksyjnego czujnika światłowodowego zakładanego do istniejącego cewnika CVC. 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7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ScvO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₂ - saturacja krwi żylnej z żyły głównej górnej,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7"/>
              </w:numPr>
            </w:pPr>
            <w:r w:rsidRPr="001C2FAB">
              <w:rPr>
                <w:rFonts w:cs="Times New Roman"/>
                <w:color w:val="000000"/>
              </w:rPr>
              <w:t>DO₂ (</w:t>
            </w:r>
            <w:proofErr w:type="spellStart"/>
            <w:r w:rsidRPr="001C2FAB">
              <w:rPr>
                <w:rFonts w:cs="Times New Roman"/>
                <w:color w:val="000000"/>
              </w:rPr>
              <w:t>DO₂I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) – dostarczenie tlenu, 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7"/>
              </w:numPr>
            </w:pPr>
            <w:r w:rsidRPr="001C2FAB">
              <w:rPr>
                <w:rFonts w:cs="Times New Roman"/>
                <w:color w:val="000000"/>
              </w:rPr>
              <w:t>VO₂ (</w:t>
            </w:r>
            <w:proofErr w:type="spellStart"/>
            <w:r w:rsidRPr="001C2FAB">
              <w:rPr>
                <w:rFonts w:cs="Times New Roman"/>
                <w:color w:val="000000"/>
              </w:rPr>
              <w:t>VO₂I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) – konsumpcja tlenu,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7"/>
              </w:numPr>
            </w:pPr>
            <w:proofErr w:type="spellStart"/>
            <w:r w:rsidRPr="001C2FAB">
              <w:rPr>
                <w:rFonts w:cs="Times New Roman"/>
                <w:color w:val="000000"/>
              </w:rPr>
              <w:t>O₂ER</w:t>
            </w:r>
            <w:proofErr w:type="spellEnd"/>
            <w:r w:rsidRPr="001C2FAB">
              <w:rPr>
                <w:rFonts w:cs="Times New Roman"/>
                <w:color w:val="000000"/>
              </w:rPr>
              <w:t xml:space="preserve"> - współczynnik ekstrakcji tlenu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proofErr w:type="spellStart"/>
            <w:r>
              <w:rPr>
                <w:rFonts w:cs="Times New Roman"/>
                <w:color w:val="000000"/>
                <w:lang w:val="en-US"/>
              </w:rPr>
              <w:t>Tak</w:t>
            </w:r>
            <w:proofErr w:type="spellEnd"/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Urządzenie umożliwiające rozbudowę o ciągły (w czasie rzeczywistym) pomiar </w:t>
            </w:r>
            <w:proofErr w:type="spellStart"/>
            <w:r>
              <w:rPr>
                <w:rFonts w:cs="Times New Roman"/>
                <w:color w:val="000000"/>
              </w:rPr>
              <w:t>pulsoksymetrii</w:t>
            </w:r>
            <w:proofErr w:type="spellEnd"/>
            <w:r>
              <w:rPr>
                <w:rFonts w:cs="Times New Roman"/>
                <w:color w:val="000000"/>
              </w:rPr>
              <w:t xml:space="preserve"> do stałego monitorowania nasycenia hemoglobiny tętniczej tlenem </w:t>
            </w:r>
            <w:proofErr w:type="spellStart"/>
            <w:r>
              <w:rPr>
                <w:rFonts w:cs="Times New Roman"/>
                <w:color w:val="000000"/>
              </w:rPr>
              <w:t>(Sp</w:t>
            </w:r>
            <w:proofErr w:type="spellEnd"/>
            <w:r>
              <w:rPr>
                <w:rFonts w:cs="Times New Roman"/>
                <w:color w:val="000000"/>
              </w:rPr>
              <w:t xml:space="preserve">O₂), a także o pomiar densytometryczny tętna do określania stężenia zieleni </w:t>
            </w:r>
            <w:proofErr w:type="spellStart"/>
            <w:r>
              <w:rPr>
                <w:rFonts w:cs="Times New Roman"/>
                <w:color w:val="000000"/>
              </w:rPr>
              <w:t>indocyjaninowej</w:t>
            </w:r>
            <w:proofErr w:type="spellEnd"/>
            <w:r>
              <w:rPr>
                <w:rFonts w:cs="Times New Roman"/>
                <w:color w:val="000000"/>
              </w:rPr>
              <w:t>, wskaźnika stosowanego do oceny ogólnej czynności wątroby i/lub perfuzji otrzewnej</w:t>
            </w:r>
          </w:p>
          <w:p w:rsidR="000A1327" w:rsidRPr="001C2FAB" w:rsidRDefault="000A1327" w:rsidP="00C06499">
            <w:pPr>
              <w:rPr>
                <w:b/>
              </w:rPr>
            </w:pPr>
            <w:r w:rsidRPr="001C2FAB">
              <w:rPr>
                <w:rFonts w:cs="Times New Roman"/>
                <w:b/>
                <w:color w:val="000000"/>
              </w:rPr>
              <w:t>Mierzone parametry:</w:t>
            </w:r>
          </w:p>
          <w:p w:rsidR="000A1327" w:rsidRPr="001C2FAB" w:rsidRDefault="000A1327" w:rsidP="00C06499">
            <w:pPr>
              <w:pStyle w:val="Akapitzlist"/>
              <w:numPr>
                <w:ilvl w:val="0"/>
                <w:numId w:val="8"/>
              </w:numPr>
              <w:rPr>
                <w:rFonts w:cs="Times New Roman"/>
                <w:color w:val="000000"/>
              </w:rPr>
            </w:pPr>
            <w:r w:rsidRPr="001C2FAB">
              <w:rPr>
                <w:rFonts w:cs="Times New Roman"/>
                <w:color w:val="000000"/>
              </w:rPr>
              <w:t xml:space="preserve">PDR - Wskaźnik eliminacji z osocza, 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8"/>
              </w:numPr>
            </w:pPr>
            <w:r w:rsidRPr="001C2FAB">
              <w:rPr>
                <w:rFonts w:cs="Times New Roman"/>
                <w:color w:val="000000"/>
              </w:rPr>
              <w:t>R15 - Wskaźnik utrzymywania ICG po 15 minutach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ind w:right="4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 xml:space="preserve">Dane pomiarowe wyświetlane na min. 8” ekranie o wysokiej rozdzielczości – 800 x 480 </w:t>
            </w:r>
            <w:proofErr w:type="spellStart"/>
            <w:r>
              <w:rPr>
                <w:rFonts w:cs="Times New Roman"/>
                <w:color w:val="000000"/>
              </w:rPr>
              <w:t>pixel</w:t>
            </w:r>
            <w:proofErr w:type="spellEnd"/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Wyświetlanie rzeczywistej krzywej ciśnienia tętniczego (AP)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Obsługa monitora poprzez ekran dotykowy i klawisze funkcyjne. Oprogramowanie w języku polskim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Wybór sposobu prezentacji danych pomiarowych – min. 2 tryby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Prezentacja danych w postaci trendów graficznych. Możliwość wyświetlania dwóch krzywych trendu w jednym oknie. Zakres czasowy trendu 15 min/30 min/1 godz./3 godz./6 godz./12 godz./24 godz./2 dni/3 dni/6dni/12 dni.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Drukowania danych poprzez: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9"/>
              </w:numPr>
            </w:pPr>
            <w:r w:rsidRPr="001C2FAB">
              <w:rPr>
                <w:rFonts w:cs="Times New Roman"/>
                <w:color w:val="000000"/>
              </w:rPr>
              <w:t>wirtualne drukowanie z portu USB do pliku PDF lub Excel (do dalszej obróbki)</w:t>
            </w:r>
          </w:p>
          <w:p w:rsidR="000A1327" w:rsidRDefault="000A1327" w:rsidP="00C06499">
            <w:pPr>
              <w:pStyle w:val="Akapitzlist"/>
              <w:numPr>
                <w:ilvl w:val="0"/>
                <w:numId w:val="9"/>
              </w:numPr>
            </w:pPr>
            <w:r w:rsidRPr="001C2FAB">
              <w:rPr>
                <w:rFonts w:cs="Times New Roman"/>
                <w:color w:val="000000"/>
              </w:rPr>
              <w:t>drukowanie poprzez sieć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Możliwość ustawienia wartości normalnych i docelowych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Tr="00C06499">
        <w:tc>
          <w:tcPr>
            <w:tcW w:w="876" w:type="dxa"/>
            <w:shd w:val="clear" w:color="auto" w:fill="FFFFFF"/>
            <w:vAlign w:val="center"/>
          </w:tcPr>
          <w:p w:rsidR="000A1327" w:rsidRDefault="000A1327" w:rsidP="00C06499">
            <w:pPr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</w:pPr>
            <w:r>
              <w:rPr>
                <w:rFonts w:cs="Times New Roman"/>
                <w:color w:val="000000"/>
              </w:rPr>
              <w:t>Możliwości transmisji danych z wykorzystaniem LAN do podłączania drukarek sieciowych lub systemów PDMS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Default="000A1327" w:rsidP="00C06499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14767" w:type="dxa"/>
            <w:gridSpan w:val="4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  <w:rPr>
                <w:b/>
              </w:rPr>
            </w:pPr>
            <w:r w:rsidRPr="00087EF4">
              <w:rPr>
                <w:b/>
              </w:rPr>
              <w:t>Czujnik – 70 szt.</w:t>
            </w: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Czujnik przeznaczony do przeprowadzania analizy krzywej ciśnienia tętniczego, wyposażony w  przewód ciśnieniowy o długości 30 cm oraz zintegrowaną diodę LED wskazującą stan sygnału ciśnienia. Posiadający min. 30 miesięczny termin ważności w chwili dostawy do Zamawiającego.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14767" w:type="dxa"/>
            <w:gridSpan w:val="4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  <w:jc w:val="center"/>
              <w:rPr>
                <w:b/>
              </w:rPr>
            </w:pPr>
            <w:r w:rsidRPr="00C0713E">
              <w:rPr>
                <w:b/>
              </w:rPr>
              <w:t>DODATKOWO</w:t>
            </w: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rPr>
                <w:rFonts w:cs="Times New Roman"/>
                <w:color w:val="000000"/>
              </w:rPr>
              <w:t>Gwarancja min. 24 miesiące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>
              <w:rPr>
                <w:rFonts w:cs="Times New Roman"/>
                <w:color w:val="000000"/>
              </w:rPr>
              <w:t>Tak/Podać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Szkolenie personelu medycznego z obsługi (min. 2 terminy) w uzgodnionych terminach z Zamawiającym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799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rPr>
                <w:rFonts w:cs="Times New Roman"/>
                <w:color w:val="000000"/>
              </w:rPr>
              <w:t>Instrukcja obsługi w języku polskim, paszport techniczny, karta gwarancyjna oraz wykaz podmiotów upoważnionych przez wytwórcę lub autoryzowanego przedstawiciela do wykonania napraw i przeglądów (przy dostawie)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Dostawa, montaż i uruchomienie urządzenia w siedzibie Zamawiającego w cenie oferty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05227D">
            <w:pPr>
              <w:pStyle w:val="Bezodstpw"/>
            </w:pPr>
            <w:r w:rsidRPr="00C0713E">
              <w:t xml:space="preserve">Dostępność do części przez okres min. </w:t>
            </w:r>
            <w:r w:rsidR="0005227D" w:rsidRPr="00BA1F73">
              <w:t>7</w:t>
            </w:r>
            <w:r w:rsidRPr="00C0713E">
              <w:t xml:space="preserve"> lat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t>Serwis pogwarancyjny, odpłatny przez okres min. 10 lat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C0713E" w:rsidRDefault="000A1327" w:rsidP="00C06499">
            <w:pPr>
              <w:pStyle w:val="Bezodstpw"/>
            </w:pPr>
            <w:r w:rsidRPr="00C0713E">
              <w:rPr>
                <w:rFonts w:cs="Times New Roman"/>
                <w:color w:val="000000"/>
              </w:rPr>
              <w:t>Autoryzowany przez producenta serwis gwarancyjny i pogwarancyjny na terenie Polski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087EF4" w:rsidRDefault="000A1327" w:rsidP="0005227D">
            <w:pPr>
              <w:pStyle w:val="Bezodstpw"/>
            </w:pPr>
            <w:r w:rsidRPr="00087EF4">
              <w:t xml:space="preserve">Czas reakcji na zgłoszenie awarii max </w:t>
            </w:r>
            <w:r w:rsidR="0005227D" w:rsidRPr="00BA1F73">
              <w:t>48</w:t>
            </w:r>
            <w:r w:rsidRPr="00087EF4">
              <w:t xml:space="preserve"> godziny w dni robocze (liczone od pn-pt z wyłączeniem dni ustawowo wolnych od pracy). Wymagany czas usunięcia usterki max 5 dni od zgłoszenia.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  <w:tr w:rsidR="000A1327" w:rsidRPr="00087EF4" w:rsidTr="00C06499">
        <w:trPr>
          <w:cantSplit/>
          <w:trHeight w:val="276"/>
        </w:trPr>
        <w:tc>
          <w:tcPr>
            <w:tcW w:w="87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numPr>
                <w:ilvl w:val="0"/>
                <w:numId w:val="1"/>
              </w:numPr>
            </w:pPr>
          </w:p>
        </w:tc>
        <w:tc>
          <w:tcPr>
            <w:tcW w:w="7224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</w:pPr>
            <w:r w:rsidRPr="00087EF4">
              <w:t>W okresie gwarancji przeglądy zgodnie z zaleceniami producenta w cenie oferty (w tym na zakończenie gwarancji).</w:t>
            </w:r>
          </w:p>
        </w:tc>
        <w:tc>
          <w:tcPr>
            <w:tcW w:w="2131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  <w:r w:rsidRPr="00087EF4">
              <w:t>Tak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0A1327" w:rsidRPr="00087EF4" w:rsidRDefault="000A1327" w:rsidP="00C06499">
            <w:pPr>
              <w:pStyle w:val="Bezodstpw"/>
              <w:jc w:val="center"/>
            </w:pPr>
          </w:p>
        </w:tc>
      </w:tr>
    </w:tbl>
    <w:p w:rsidR="001C2FAB" w:rsidRDefault="001C2FAB">
      <w:pPr>
        <w:rPr>
          <w:rFonts w:cs="Times New Roman"/>
        </w:rPr>
      </w:pPr>
    </w:p>
    <w:p w:rsidR="00E63104" w:rsidRPr="00E63104" w:rsidRDefault="00E63104" w:rsidP="00E63104">
      <w:pPr>
        <w:rPr>
          <w:rFonts w:cs="Times New Roman"/>
          <w:b/>
          <w:i/>
          <w:sz w:val="16"/>
          <w:szCs w:val="16"/>
        </w:rPr>
      </w:pPr>
      <w:r w:rsidRPr="00E63104">
        <w:rPr>
          <w:rFonts w:cs="Times New Roman"/>
          <w:b/>
          <w:i/>
          <w:sz w:val="16"/>
          <w:szCs w:val="16"/>
        </w:rPr>
        <w:t>Wykonawca zobowiązany jest potwierdzić wszystkie wymagania Zamawiającego. Niespełnienie któregokolwiek wymagania skutkować będzie odrzuceniem oferty.</w:t>
      </w:r>
    </w:p>
    <w:p w:rsidR="007E34B7" w:rsidRDefault="00E63104" w:rsidP="00E63104">
      <w:pPr>
        <w:rPr>
          <w:rFonts w:cs="Times New Roman"/>
        </w:rPr>
      </w:pPr>
      <w:r w:rsidRPr="00E63104">
        <w:rPr>
          <w:rFonts w:cs="Times New Roman"/>
          <w:b/>
          <w:i/>
          <w:sz w:val="16"/>
          <w:szCs w:val="16"/>
        </w:rPr>
        <w:t>Wypełniony i podpisany szczegółowy opis przedmiotu zamówienia należy załączyć do oferty – brak spowoduje odrzucenie oferty</w:t>
      </w:r>
      <w:r w:rsidRPr="00E63104">
        <w:rPr>
          <w:rFonts w:cs="Times New Roman"/>
        </w:rPr>
        <w:t>.</w:t>
      </w:r>
    </w:p>
    <w:sectPr w:rsidR="007E34B7" w:rsidSect="001C2FAB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186" w:rsidRDefault="00974186" w:rsidP="003F15E9">
      <w:r>
        <w:separator/>
      </w:r>
    </w:p>
  </w:endnote>
  <w:endnote w:type="continuationSeparator" w:id="0">
    <w:p w:rsidR="00974186" w:rsidRDefault="00974186" w:rsidP="003F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186" w:rsidRDefault="00974186" w:rsidP="003F15E9">
      <w:r>
        <w:separator/>
      </w:r>
    </w:p>
  </w:footnote>
  <w:footnote w:type="continuationSeparator" w:id="0">
    <w:p w:rsidR="00974186" w:rsidRDefault="00974186" w:rsidP="003F1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5E9" w:rsidRPr="00C262FD" w:rsidRDefault="003F15E9" w:rsidP="003F15E9">
    <w:pPr>
      <w:pStyle w:val="Nagwek"/>
      <w:rPr>
        <w:sz w:val="18"/>
        <w:szCs w:val="18"/>
      </w:rPr>
    </w:pPr>
    <w:r w:rsidRPr="00C262FD">
      <w:rPr>
        <w:b/>
        <w:i/>
        <w:sz w:val="18"/>
        <w:szCs w:val="18"/>
      </w:rPr>
      <w:t>Znak sprawy: DZP.261.2.</w:t>
    </w:r>
    <w:r>
      <w:rPr>
        <w:b/>
        <w:i/>
        <w:sz w:val="18"/>
        <w:szCs w:val="18"/>
      </w:rPr>
      <w:t>3</w:t>
    </w:r>
    <w:r w:rsidRPr="00C262FD">
      <w:rPr>
        <w:b/>
        <w:i/>
        <w:sz w:val="18"/>
        <w:szCs w:val="18"/>
      </w:rPr>
      <w:t>.202</w:t>
    </w:r>
    <w:r>
      <w:rPr>
        <w:b/>
        <w:i/>
        <w:sz w:val="18"/>
        <w:szCs w:val="18"/>
      </w:rPr>
      <w:t>5</w:t>
    </w:r>
  </w:p>
  <w:p w:rsidR="003F15E9" w:rsidRDefault="003F15E9">
    <w:pPr>
      <w:pStyle w:val="Nagwek"/>
    </w:pPr>
  </w:p>
  <w:p w:rsidR="003F15E9" w:rsidRDefault="003F15E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0540E40"/>
    <w:multiLevelType w:val="hybridMultilevel"/>
    <w:tmpl w:val="D80E3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8204B"/>
    <w:multiLevelType w:val="hybridMultilevel"/>
    <w:tmpl w:val="08807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C7CB9"/>
    <w:multiLevelType w:val="hybridMultilevel"/>
    <w:tmpl w:val="20108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B52A0"/>
    <w:multiLevelType w:val="hybridMultilevel"/>
    <w:tmpl w:val="0A28F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E6497"/>
    <w:multiLevelType w:val="hybridMultilevel"/>
    <w:tmpl w:val="919C7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E636C"/>
    <w:multiLevelType w:val="hybridMultilevel"/>
    <w:tmpl w:val="E0FE1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67FD1"/>
    <w:multiLevelType w:val="hybridMultilevel"/>
    <w:tmpl w:val="B8A07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D4EA2"/>
    <w:rsid w:val="000375C7"/>
    <w:rsid w:val="0005227D"/>
    <w:rsid w:val="00062E39"/>
    <w:rsid w:val="000A1327"/>
    <w:rsid w:val="00112CBD"/>
    <w:rsid w:val="001908A6"/>
    <w:rsid w:val="001C2FAB"/>
    <w:rsid w:val="00275ED3"/>
    <w:rsid w:val="003D5D26"/>
    <w:rsid w:val="003F15E9"/>
    <w:rsid w:val="00465AF3"/>
    <w:rsid w:val="004966E7"/>
    <w:rsid w:val="007113C7"/>
    <w:rsid w:val="007375F0"/>
    <w:rsid w:val="0075384F"/>
    <w:rsid w:val="007A1FF2"/>
    <w:rsid w:val="007E34B7"/>
    <w:rsid w:val="00974186"/>
    <w:rsid w:val="00993669"/>
    <w:rsid w:val="009A6B1F"/>
    <w:rsid w:val="00B46C75"/>
    <w:rsid w:val="00B73F06"/>
    <w:rsid w:val="00BA1F73"/>
    <w:rsid w:val="00CC3D02"/>
    <w:rsid w:val="00D66DB6"/>
    <w:rsid w:val="00DD4EA2"/>
    <w:rsid w:val="00E50456"/>
    <w:rsid w:val="00E63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C75"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46C75"/>
    <w:rPr>
      <w:rFonts w:hint="default"/>
    </w:rPr>
  </w:style>
  <w:style w:type="character" w:customStyle="1" w:styleId="WW8Num3z0">
    <w:name w:val="WW8Num3z0"/>
    <w:rsid w:val="00B46C75"/>
    <w:rPr>
      <w:rFonts w:hint="default"/>
    </w:rPr>
  </w:style>
  <w:style w:type="character" w:customStyle="1" w:styleId="Domylnaczcionkaakapitu1">
    <w:name w:val="Domyślna czcionka akapitu1"/>
    <w:rsid w:val="00B46C75"/>
  </w:style>
  <w:style w:type="character" w:customStyle="1" w:styleId="Symbolewypunktowania">
    <w:name w:val="Symbole wypunktowania"/>
    <w:rsid w:val="00B46C75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rsid w:val="00B46C7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6C75"/>
    <w:pPr>
      <w:spacing w:after="120"/>
    </w:pPr>
  </w:style>
  <w:style w:type="paragraph" w:styleId="Lista">
    <w:name w:val="List"/>
    <w:basedOn w:val="Tekstpodstawowy"/>
    <w:rsid w:val="00B46C75"/>
  </w:style>
  <w:style w:type="paragraph" w:styleId="Legenda">
    <w:name w:val="caption"/>
    <w:basedOn w:val="Normalny"/>
    <w:qFormat/>
    <w:rsid w:val="00B46C7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B46C75"/>
    <w:pPr>
      <w:suppressLineNumbers/>
    </w:pPr>
  </w:style>
  <w:style w:type="paragraph" w:customStyle="1" w:styleId="Nagwek1">
    <w:name w:val="Nagłówek1"/>
    <w:basedOn w:val="Normalny"/>
    <w:next w:val="Tekstpodstawowy"/>
    <w:rsid w:val="00B46C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B46C75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B46C75"/>
    <w:pPr>
      <w:suppressLineNumbers/>
    </w:pPr>
  </w:style>
  <w:style w:type="paragraph" w:customStyle="1" w:styleId="Nagwektabeli">
    <w:name w:val="Nagłówek tabeli"/>
    <w:basedOn w:val="Zawartotabeli"/>
    <w:rsid w:val="00B46C75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C2FAB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3F15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F15E9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3F15E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F15E9"/>
    <w:rPr>
      <w:rFonts w:eastAsia="SimSun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5E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5E9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3F15E9"/>
    <w:pPr>
      <w:widowControl w:val="0"/>
      <w:suppressAutoHyphens/>
    </w:pPr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m_nazar</dc:creator>
  <cp:lastModifiedBy>m_nazar</cp:lastModifiedBy>
  <cp:revision>3</cp:revision>
  <cp:lastPrinted>2025-01-24T08:50:00Z</cp:lastPrinted>
  <dcterms:created xsi:type="dcterms:W3CDTF">2025-01-31T07:56:00Z</dcterms:created>
  <dcterms:modified xsi:type="dcterms:W3CDTF">2025-01-31T07:56:00Z</dcterms:modified>
</cp:coreProperties>
</file>